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5B" w:rsidRDefault="00F46DE5" w:rsidP="00F46DE5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Daif hadisi zbog prekinutog lanca</w:t>
      </w:r>
    </w:p>
    <w:p w:rsidR="00F46DE5" w:rsidRDefault="00F46DE5" w:rsidP="00F46DE5">
      <w:pPr>
        <w:jc w:val="center"/>
        <w:rPr>
          <w:sz w:val="24"/>
          <w:szCs w:val="24"/>
          <w:lang w:val="bs-Latn-BA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bs-Latn-BA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bs-Latn-BA"/>
        </w:rPr>
        <w:t>Ima više vrsta slabih hadisa koji su postali daif zbog toga što im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je prekinut sened. Ovisno o tome o kakvom se prekidu radi - da li u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81375-Identity-H" w:hAnsi="Fd1634300-Identity-H" w:cs="Fd1681375-Identity-H"/>
          <w:color w:val="202020"/>
          <w:sz w:val="10"/>
          <w:szCs w:val="10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 xml:space="preserve">senedu nedostaje jedan prenosilac </w:t>
      </w:r>
      <w:r w:rsidRPr="00E2045D">
        <w:rPr>
          <w:rFonts w:ascii="Fd790361-Identity-H" w:hAnsi="Fd790361-Identity-H" w:cs="Fd790361-Identity-H"/>
          <w:color w:val="101010"/>
          <w:sz w:val="18"/>
          <w:szCs w:val="18"/>
          <w:lang w:val="sv-SE"/>
        </w:rPr>
        <w:t xml:space="preserve">ili, </w:t>
      </w: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pak, nedostaje više prenosila</w:t>
      </w:r>
      <w:r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ca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 xml:space="preserve">da li prenosioci nedostaju uzastopno u jednom dijelu </w:t>
      </w:r>
      <w:r w:rsidRPr="00E2045D">
        <w:rPr>
          <w:rFonts w:ascii="Fd790361-Identity-H" w:hAnsi="Fd790361-Identity-H" w:cs="Fd790361-Identity-H"/>
          <w:color w:val="111111"/>
          <w:sz w:val="18"/>
          <w:szCs w:val="18"/>
          <w:lang w:val="sv-SE"/>
        </w:rPr>
        <w:t xml:space="preserve">ili </w:t>
      </w:r>
      <w:r w:rsidRPr="00E2045D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na više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 xml:space="preserve">mjesta u senedu, te da li je sened prekinut na početku, u sredini </w:t>
      </w:r>
      <w:r w:rsidRPr="00E2045D">
        <w:rPr>
          <w:rFonts w:ascii="Fd790361-Identity-H" w:hAnsi="Fd790361-Identity-H" w:cs="Fd790361-Identity-H"/>
          <w:color w:val="111111"/>
          <w:sz w:val="18"/>
          <w:szCs w:val="18"/>
          <w:lang w:val="sv-SE"/>
        </w:rPr>
        <w:t xml:space="preserve">ili </w:t>
      </w:r>
      <w:r w:rsidRPr="00E2045D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na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kraju svoga niza - daif-hadise možemo podijeliti na slijedeće vrste: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424632-Identity-H" w:hAnsi="Fd1634300-Identity-H" w:cs="Fd1424632-Identity-H"/>
          <w:color w:val="0E0E0E"/>
          <w:sz w:val="41"/>
          <w:szCs w:val="41"/>
          <w:lang w:val="sv-SE"/>
        </w:rPr>
      </w:pPr>
      <w:r w:rsidRPr="00E2045D">
        <w:rPr>
          <w:rFonts w:ascii="Fd1509382-Identity-H" w:hAnsi="Fd1509382-Identity-H" w:cs="Fd1509382-Identity-H"/>
          <w:color w:val="0E0E0E"/>
          <w:sz w:val="24"/>
          <w:szCs w:val="24"/>
          <w:lang w:val="sv-SE"/>
        </w:rPr>
        <w:t xml:space="preserve">1 . </w:t>
      </w:r>
      <w:r w:rsidRPr="00E2045D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 xml:space="preserve">muallek-hadis 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424632-Identity-H" w:hAnsi="Fd1634300-Identity-H" w:cs="Fd1424632-Identity-H"/>
          <w:color w:val="101010"/>
          <w:sz w:val="41"/>
          <w:szCs w:val="41"/>
          <w:lang w:val="sv-SE"/>
        </w:rPr>
      </w:pPr>
      <w:r w:rsidRPr="00E2045D">
        <w:rPr>
          <w:rFonts w:ascii="Fd1681375-Identity-H" w:hAnsi="Fd1634300-Identity-H" w:cs="Fd1681375-Identity-H"/>
          <w:color w:val="2B2B2B"/>
          <w:sz w:val="10"/>
          <w:szCs w:val="10"/>
          <w:lang w:val="sv-SE"/>
        </w:rPr>
        <w:t xml:space="preserve"> </w:t>
      </w:r>
      <w:r w:rsidRPr="00E2045D">
        <w:rPr>
          <w:rFonts w:ascii="Fd949678-Identity-H" w:hAnsi="Fd949678-Identity-H" w:cs="Fd949678-Identity-H"/>
          <w:color w:val="101010"/>
          <w:sz w:val="23"/>
          <w:szCs w:val="23"/>
          <w:lang w:val="sv-SE"/>
        </w:rPr>
        <w:t xml:space="preserve">2. </w:t>
      </w: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 xml:space="preserve">mursel-hadis </w:t>
      </w:r>
      <w:r w:rsidRPr="00E2045D">
        <w:rPr>
          <w:rFonts w:ascii="Fd1716845-Identity-H" w:hAnsi="Fd1634300-Identity-H" w:cs="Fd1716845-Identity-H" w:hint="cs"/>
          <w:color w:val="2A2A2A"/>
          <w:sz w:val="6"/>
          <w:szCs w:val="6"/>
          <w:lang w:val="sv-SE"/>
        </w:rPr>
        <w:t>•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424632-Identity-H" w:hAnsi="Fd1634300-Identity-H" w:cs="Fd1424632-Identity-H"/>
          <w:color w:val="0D0D0D"/>
          <w:sz w:val="41"/>
          <w:szCs w:val="41"/>
          <w:lang w:val="sv-SE"/>
        </w:rPr>
      </w:pPr>
      <w:r w:rsidRPr="00E2045D">
        <w:rPr>
          <w:rFonts w:ascii="Fd1136264-Identity-H" w:hAnsi="Fd1136264-Identity-H" w:cs="Fd1136264-Identity-H"/>
          <w:color w:val="0D0D0D"/>
          <w:sz w:val="19"/>
          <w:szCs w:val="19"/>
          <w:lang w:val="sv-SE"/>
        </w:rPr>
        <w:t xml:space="preserve">3. </w:t>
      </w:r>
      <w:r w:rsidRPr="00E2045D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 xml:space="preserve">mu'dal-hadis 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424632-Identity-H" w:hAnsi="Fd1634300-Identity-H" w:cs="Fd1424632-Identity-H"/>
          <w:color w:val="161616"/>
          <w:sz w:val="41"/>
          <w:szCs w:val="41"/>
          <w:lang w:val="sv-SE"/>
        </w:rPr>
      </w:pPr>
      <w:r w:rsidRPr="00E2045D">
        <w:rPr>
          <w:rFonts w:ascii="Fd949678-Identity-H" w:hAnsi="Fd949678-Identity-H" w:cs="Fd949678-Identity-H"/>
          <w:color w:val="161616"/>
          <w:sz w:val="23"/>
          <w:szCs w:val="23"/>
          <w:lang w:val="sv-SE"/>
        </w:rPr>
        <w:t xml:space="preserve">4. </w:t>
      </w:r>
      <w:r w:rsidRPr="00E2045D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 xml:space="preserve">munka ti' -hadis </w:t>
      </w: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81818"/>
          <w:sz w:val="26"/>
          <w:szCs w:val="26"/>
          <w:lang w:val="sv-SE"/>
        </w:rPr>
      </w:pPr>
      <w:r w:rsidRPr="00E2045D">
        <w:rPr>
          <w:rFonts w:ascii="Fd1509382-Identity-H" w:hAnsi="Fd1509382-Identity-H" w:cs="Fd1509382-Identity-H"/>
          <w:color w:val="181818"/>
          <w:sz w:val="24"/>
          <w:szCs w:val="24"/>
          <w:lang w:val="sv-SE"/>
        </w:rPr>
        <w:t xml:space="preserve">5. </w:t>
      </w:r>
      <w:r w:rsidRPr="00E2045D">
        <w:rPr>
          <w:rFonts w:ascii="Fd1634300-Identity-H" w:hAnsi="Fd1634300-Identity-H" w:cs="Fd1634300-Identity-H"/>
          <w:color w:val="181818"/>
          <w:sz w:val="26"/>
          <w:szCs w:val="26"/>
          <w:lang w:val="sv-SE"/>
        </w:rPr>
        <w:t xml:space="preserve">mudelles-hadis 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424632-Identity-H" w:hAnsi="Fd1634300-Identity-H" w:cs="Fd1424632-Identity-H"/>
          <w:color w:val="181818"/>
          <w:sz w:val="41"/>
          <w:szCs w:val="41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Mi ćemo se u toku daljnjeg izlaganja posebno osvrnuti na svaku</w:t>
      </w: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od spomenutih vrsta daif-hadisa.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</w:p>
    <w:p w:rsidR="00E2045D" w:rsidRPr="00E2045D" w:rsidRDefault="00E2045D" w:rsidP="00E204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40404"/>
          <w:sz w:val="27"/>
          <w:szCs w:val="27"/>
          <w:lang w:val="sv-SE"/>
        </w:rPr>
      </w:pPr>
      <w:r w:rsidRPr="00E2045D">
        <w:rPr>
          <w:rFonts w:ascii="Fd679604-Identity-H" w:hAnsi="Fd679604-Identity-H" w:cs="Fd679604-Identity-H"/>
          <w:color w:val="040404"/>
          <w:sz w:val="27"/>
          <w:szCs w:val="27"/>
          <w:lang w:val="sv-SE"/>
        </w:rPr>
        <w:t xml:space="preserve">Muallek-hadis 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"Muallek-hadis je onaj hadis iz čijeg je seneda s početka, uzastopno,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 xml:space="preserve">ispušten jedan </w:t>
      </w:r>
      <w:r w:rsidRPr="00E2045D">
        <w:rPr>
          <w:rFonts w:ascii="Fd790361-Identity-H" w:hAnsi="Fd790361-Identity-H" w:cs="Fd790361-Identity-H"/>
          <w:color w:val="151515"/>
          <w:sz w:val="18"/>
          <w:szCs w:val="18"/>
          <w:lang w:val="sv-SE"/>
        </w:rPr>
        <w:t xml:space="preserve">ili </w:t>
      </w:r>
      <w:r w:rsidRPr="00E2045D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viš</w:t>
      </w:r>
      <w:r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e prenosilaca."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Dobio je ovakav naziv zbog toga što se njegov sened vezuje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samo za gornju stranu - ashabe, a prekinut je u njegovu donjem dijelu,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ispred tabi'ina, tako da izgleda kao da "visi."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Muallek-hadisima se nazivaju i oni hadisi čiji je sened upotpunosti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izostavljen, kao, na primjer, kada kažemo: Rekao je Allahov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Poslanik, s.a.v.s., to i to, kao i hadisi čiji je sened izostavljen do ashaba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790361-Identity-H" w:hAnsi="Fd790361-Identity-H" w:cs="Fd790361-Identity-H"/>
          <w:color w:val="131313"/>
          <w:sz w:val="18"/>
          <w:szCs w:val="18"/>
          <w:lang w:val="sv-SE"/>
        </w:rPr>
        <w:t xml:space="preserve">ili </w:t>
      </w: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tabi'ina, kao, na primjer, kada El-Buhari kaže: "Ebu Musa je rekao: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'Pokrio je Allahov poslanik, s.a.v.s., svoja koljena kada mu je došao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Osman."' El-Buhari je izostavio cijeli sened ovoga hadisa do ashaba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Ebu Musaa el-Eša'rija.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Muallek-hadis spada u kategoriju slabih hadisa koji se odbacuju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iz razloga što mu nedostaje jedan od uvjeta koji se traže kod sahih</w:t>
      </w:r>
      <w:r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 xml:space="preserve"> </w:t>
      </w: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hadisa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i hasen-hadisa, a to je spojenost seneda. Izuzetak su muallek</w:t>
      </w:r>
      <w:r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 xml:space="preserve"> </w:t>
      </w: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hadisi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u El-Buharijevu i Muslimovu Sah</w:t>
      </w:r>
      <w:r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ihu, koji se prihvataju, jer im</w:t>
      </w: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je svima naknadno pronađ</w:t>
      </w:r>
      <w:r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en njihov kompletan sened.</w:t>
      </w: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  <w:r w:rsidRPr="00E2045D">
        <w:rPr>
          <w:rFonts w:ascii="Fd1143231-Identity-H" w:hAnsi="Fd1634300-Identity-H" w:cs="Fd1143231-Identity-H"/>
          <w:color w:val="141414"/>
          <w:sz w:val="24"/>
          <w:szCs w:val="24"/>
          <w:lang w:val="sv-SE"/>
        </w:rPr>
        <w:t xml:space="preserve"> </w:t>
      </w:r>
      <w:r w:rsidRPr="00E2045D">
        <w:rPr>
          <w:rFonts w:ascii="Fd82416-Identity-H" w:hAnsi="Fd1634300-Identity-H" w:cs="Fd82416-Identity-H"/>
          <w:color w:val="141414"/>
          <w:sz w:val="13"/>
          <w:szCs w:val="13"/>
          <w:lang w:val="sv-SE"/>
        </w:rPr>
        <w:t>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424632-Identity-H" w:hAnsi="Fd1634300-Identity-H" w:cs="Fd1424632-Identity-H"/>
          <w:color w:val="020202"/>
          <w:sz w:val="41"/>
          <w:szCs w:val="41"/>
          <w:lang w:val="sv-SE"/>
        </w:rPr>
      </w:pPr>
      <w:r w:rsidRPr="00E2045D">
        <w:rPr>
          <w:rFonts w:ascii="Fd679604-Identity-H" w:hAnsi="Fd679604-Identity-H" w:cs="Fd679604-Identity-H"/>
          <w:color w:val="020202"/>
          <w:sz w:val="27"/>
          <w:szCs w:val="27"/>
          <w:lang w:val="sv-SE"/>
        </w:rPr>
        <w:t xml:space="preserve">2. Mursel-hadis 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81375-Identity-H" w:hAnsi="Fd1634300-Identity-H" w:cs="Fd1681375-Identity-H"/>
          <w:color w:val="3C3C3C"/>
          <w:sz w:val="10"/>
          <w:szCs w:val="10"/>
          <w:lang w:val="sv-SE"/>
        </w:rPr>
      </w:pPr>
      <w:r>
        <w:rPr>
          <w:rFonts w:ascii="Fd1681375-Identity-H" w:hAnsi="Fd1634300-Identity-H" w:cs="Fd1681375-Identity-H"/>
          <w:color w:val="3C3C3C"/>
          <w:sz w:val="10"/>
          <w:szCs w:val="10"/>
          <w:lang w:val="sv-SE"/>
        </w:rPr>
        <w:t>'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  <w:t>"Mursel je hadis u čijem senedu nakon tabi'ina nedostaje jedan</w:t>
      </w: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</w:pPr>
      <w:r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  <w:lastRenderedPageBreak/>
        <w:t>Prenosilac, tj. Nedostaje ashab.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Usuli-fikhski i fikhski učenjaci murselom smatraju svaki hadis čiji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je sened prekinut bez obzira na koji je način uslijedio njegov prekid.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Isto tako smatra i El-Hatib El-Bagdadi. Evo jednog primjera murselhadisa: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Muslim kaže: "Ispričao mi je Muhammed b. kafi: 'Ispričao nam je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Hudžejn: 'Nama je ispričao El-Lejs prenijevši od Ukajla, on od Ibn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Šihaba, a on od Seida b. El-Musejjeba da je Allahov Poslanik, s.a.v.s.,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zabranio prodaju voća na stablu."'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U senedu ovoga hadisa nedostaje ashab koji ga je čuo od Allahova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Poslanika. Ovaj hadis tabi'in Seid b. El-Musejjeb izravno prenosi od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Allahova Poslanika, s.a.v.s., a on ga nije mogao od njega čuti pošto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2045D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nije ni zatekao</w:t>
      </w:r>
      <w:r w:rsidR="00ED6619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 xml:space="preserve"> Allahova Poslanika, s.a.v.s.</w:t>
      </w: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  <w:r w:rsidRPr="00E2045D"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  <w:t>Postupanje po mursel-hadisima</w:t>
      </w:r>
    </w:p>
    <w:p w:rsidR="00ED6619" w:rsidRPr="00E2045D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U pogledu postupanja u duhu sve tri spomenute vrste mursel-hadisa,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islamski učenjaci imaju različite stavove.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Većina hadiskih, i mnogi fikhski i usuli-fikhski učenjaci smatraju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da mursel-hadis spada u kategoriju hadisa koji se ne prihvataju i koje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treba odbaciti.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Ehu Hanife, Malik i Ahmed b. Hanbel smatraju da je mursel hadis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pouzdan ukoliko ispunjava sve ostale uvjete sahiha i da spada u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kategoriju hadisa koji se prihvataju. Prema njihovu mišljenju, tabi'ini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su uglavnom svi pouzdani i zasigurno ni jedan od njih ne bi Allahovu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Poslaniku, s.a.v.s., pripisao ono u što nije siguran.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Eš-Šafi smatra da se mursel-hadis može smatrati pouzdanim 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podvesti pod kategoriju hadisa koji se prihvaćaju ukoliko ispuni određene</w:t>
      </w:r>
    </w:p>
    <w:p w:rsidR="00E2045D" w:rsidRPr="00E2045D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uvjete.</w:t>
      </w: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10"/>
          <w:szCs w:val="10"/>
        </w:rPr>
      </w:pP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10"/>
          <w:szCs w:val="10"/>
        </w:rPr>
      </w:pPr>
    </w:p>
    <w:p w:rsidR="00E2045D" w:rsidRP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716845-Identity-H" w:hAnsi="Fd1634300-Identity-H" w:cs="Fd1716845-Identity-H"/>
          <w:color w:val="505050"/>
          <w:sz w:val="6"/>
          <w:szCs w:val="6"/>
        </w:rPr>
      </w:pPr>
      <w:r>
        <w:rPr>
          <w:rFonts w:ascii="Fd679604-Identity-H" w:hAnsi="Fd679604-Identity-H" w:cs="Fd679604-Identity-H"/>
          <w:color w:val="030303"/>
          <w:sz w:val="27"/>
          <w:szCs w:val="27"/>
        </w:rPr>
        <w:t>3. Mu'dal-hadis</w:t>
      </w:r>
      <w:r w:rsidR="00E2045D" w:rsidRPr="00ED6619">
        <w:rPr>
          <w:rFonts w:ascii="Fd1716845-Identity-H" w:hAnsi="Fd1634300-Identity-H" w:cs="Fd1716845-Identity-H"/>
          <w:color w:val="505050"/>
          <w:sz w:val="6"/>
          <w:szCs w:val="6"/>
        </w:rPr>
        <w:t>'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716845-Identity-H" w:hAnsi="Fd1634300-Identity-H" w:cs="Fd1716845-Identity-H"/>
          <w:color w:val="545454"/>
          <w:sz w:val="6"/>
          <w:szCs w:val="6"/>
          <w:lang w:val="sv-SE"/>
        </w:rPr>
      </w:pPr>
      <w:r w:rsidRPr="00E2045D">
        <w:rPr>
          <w:rFonts w:ascii="Fd1716845-Identity-H" w:hAnsi="Fd1634300-Identity-H" w:cs="Fd1716845-Identity-H"/>
          <w:color w:val="545454"/>
          <w:sz w:val="6"/>
          <w:szCs w:val="6"/>
          <w:lang w:val="sv-SE"/>
        </w:rPr>
        <w:t>'</w:t>
      </w: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716845-Identity-H" w:hAnsi="Fd1634300-Identity-H" w:cs="Fd1716845-Identity-H"/>
          <w:color w:val="4C4C4C"/>
          <w:sz w:val="6"/>
          <w:szCs w:val="6"/>
          <w:lang w:val="sv-SE"/>
        </w:rPr>
      </w:pPr>
      <w:r w:rsidRPr="00E2045D">
        <w:rPr>
          <w:rFonts w:ascii="Fd1716845-Identity-H" w:hAnsi="Fd1634300-Identity-H" w:cs="Fd1716845-Identity-H"/>
          <w:color w:val="4C4C4C"/>
          <w:sz w:val="6"/>
          <w:szCs w:val="6"/>
          <w:lang w:val="sv-SE"/>
        </w:rPr>
        <w:t>' '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"Mu'dal je onaj hadis u čijem senedu uzatopno nedostaju dvojica</w:t>
      </w:r>
    </w:p>
    <w:p w:rsidR="00E2045D" w:rsidRPr="00E2045D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ili više prenosilaca."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Svaki se hadis smatra mu'dalom kome u senedu nedostaju uzastopno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dvojica ili više prenosilaca, svejedno na kom mjestu u senedu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nedostajali, da li na početku, u sredini ili na kraju seneda. Ako mu</w:t>
      </w:r>
    </w:p>
    <w:p w:rsidR="00E2045D" w:rsidRPr="00ED6619" w:rsidRDefault="00E2045D" w:rsidP="00ED6619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nedostaju uzastopno dvojica prenosi</w:t>
      </w:r>
      <w:r w:rsidR="00ED6619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laca na početku seneda, onda je</w:t>
      </w:r>
    </w:p>
    <w:p w:rsidR="00ED6619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 xml:space="preserve">taj hadis istodobno i mu'dal i muallek.854 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Evo dva primjera mu'dalhadisa: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El-Hakim je u djelu Marifetu ulumil-hadisi sa senedom prenio od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El-Ka'nebija, a on od Malika da je do njega doprlo da je Ehu Hurejre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kazao da je Allahov Poslanik, s.a.v.s., rekao: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lastRenderedPageBreak/>
        <w:t>Robu sljeduje hrana i odjeća (kao i ostaloj čeljadi) i ne smije se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opterećivati poslovima koje ne može izdržati.855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Iz predaje ovog hadisa, koja je zabilježena i u drugim izvorima,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saznajemo da su u senedu između Malika i Ehu Hurejrea izostavljena,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uzastopno, dvojica prenosilaca - Muhammed b. Adžlan i njegov otac.</w:t>
      </w: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41989-Identity-H" w:hAnsi="Fd1641989-Identity-H" w:cs="Fd1641989-Identity-H"/>
          <w:color w:val="030303"/>
          <w:sz w:val="45"/>
          <w:szCs w:val="45"/>
          <w:lang w:val="sv-SE"/>
        </w:rPr>
      </w:pPr>
      <w:r w:rsidRPr="00E2045D">
        <w:rPr>
          <w:rFonts w:ascii="Fd679604-Identity-H" w:hAnsi="Fd679604-Identity-H" w:cs="Fd679604-Identity-H"/>
          <w:color w:val="030303"/>
          <w:sz w:val="27"/>
          <w:szCs w:val="27"/>
          <w:lang w:val="sv-SE"/>
        </w:rPr>
        <w:t xml:space="preserve">4. Munkati'-hadis </w:t>
      </w: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"Munkati' je svaki hadis čiji sened nije spojen bez obzira na kom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mjestu</w:t>
      </w:r>
      <w:r w:rsidR="00ED6619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 xml:space="preserve"> je uslijedio njegov prekid."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Primjer munka ti' -hadisa:</w:t>
      </w: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704576-Identity-H" w:hAnsi="Fd1634300-Identity-H" w:cs="Fd1704576-Identity-H"/>
          <w:color w:val="2E2E2E"/>
          <w:sz w:val="14"/>
          <w:szCs w:val="14"/>
          <w:lang w:val="sv-SE"/>
        </w:rPr>
      </w:pP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</w:rPr>
      </w:pPr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Prenio je Abdur-Rezzak </w:t>
      </w:r>
      <w:proofErr w:type="gramStart"/>
      <w:r>
        <w:rPr>
          <w:rFonts w:ascii="Fd1634300-Identity-H" w:hAnsi="Fd1634300-Identity-H" w:cs="Fd1634300-Identity-H"/>
          <w:color w:val="0F0F0F"/>
          <w:sz w:val="26"/>
          <w:szCs w:val="26"/>
        </w:rPr>
        <w:t>od</w:t>
      </w:r>
      <w:proofErr w:type="gram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Es-Sevrija, on od Ehu Ishaka, on od</w:t>
      </w: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</w:rPr>
      </w:pPr>
      <w:r>
        <w:rPr>
          <w:rFonts w:ascii="Fd1634300-Identity-H" w:hAnsi="Fd1634300-Identity-H" w:cs="Fd1634300-Identity-H"/>
          <w:color w:val="0F0F0F"/>
          <w:sz w:val="26"/>
          <w:szCs w:val="26"/>
        </w:rPr>
        <w:t>Zejda b. Jusej'a da je Vjerovjesnik, s.a.v.s., rekao: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"Ukoliko poslije mene hilafet povjerite Ehu Bekru, pa znajte da je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on snažan i povjerljiv."859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Ovaj hadis je munkati' jer u njegovu senedu između Es-Sevrija 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Ebu Ishaka nedostaje jedan prenosilac. To je, kako se iz drugih predaja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saznaje, Šerik.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Dakle, Es-Sevri nije ovaj hadis direktno čuo od Ehu Ishaka, nego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mu ga je od njega prenio Šerik.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Hadiski učenjaci su jednoglasni u stavu da je munka ti' -hadis slab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hadis i da spada u kategoriju onih hadisa koji se odbacuju, iz razloga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što se, osim toga što mu je sened prekinut, obično kod ovakvih hadisa</w:t>
      </w:r>
    </w:p>
    <w:p w:rsidR="00E2045D" w:rsidRDefault="00E2045D" w:rsidP="00ED6619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ne zna ni pravo stanje izostavljenog ravije.</w:t>
      </w:r>
    </w:p>
    <w:p w:rsidR="00ED6619" w:rsidRPr="00E2045D" w:rsidRDefault="00ED6619" w:rsidP="00ED6619">
      <w:pPr>
        <w:autoSpaceDE w:val="0"/>
        <w:autoSpaceDN w:val="0"/>
        <w:adjustRightInd w:val="0"/>
        <w:spacing w:after="0" w:line="240" w:lineRule="auto"/>
        <w:rPr>
          <w:rFonts w:ascii="Fd1136271-Identity-H" w:hAnsi="Fd1136271-Identity-H" w:cs="Fd1136271-Identity-H"/>
          <w:color w:val="1B1B1B"/>
          <w:sz w:val="18"/>
          <w:szCs w:val="18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424632-Identity-H" w:hAnsi="Fd1634300-Identity-H" w:cs="Fd1424632-Identity-H"/>
          <w:color w:val="020202"/>
          <w:sz w:val="41"/>
          <w:szCs w:val="41"/>
          <w:lang w:val="sv-SE"/>
        </w:rPr>
      </w:pPr>
      <w:r w:rsidRPr="00E2045D">
        <w:rPr>
          <w:rFonts w:ascii="Fd679604-Identity-H" w:hAnsi="Fd679604-Identity-H" w:cs="Fd679604-Identity-H"/>
          <w:color w:val="020202"/>
          <w:sz w:val="27"/>
          <w:szCs w:val="27"/>
          <w:lang w:val="sv-SE"/>
        </w:rPr>
        <w:t xml:space="preserve">5. Mudelles-hadis 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716845-Identity-H" w:hAnsi="Fd1634300-Identity-H" w:cs="Fd1716845-Identity-H"/>
          <w:color w:val="3C3C3C"/>
          <w:sz w:val="6"/>
          <w:szCs w:val="6"/>
          <w:lang w:val="sv-SE"/>
        </w:rPr>
      </w:pPr>
      <w:r w:rsidRPr="00E2045D">
        <w:rPr>
          <w:rFonts w:ascii="Fd1716845-Identity-H" w:hAnsi="Fd1634300-Identity-H" w:cs="Fd1716845-Identity-H"/>
          <w:color w:val="3C3C3C"/>
          <w:sz w:val="6"/>
          <w:szCs w:val="6"/>
          <w:lang w:val="sv-SE"/>
        </w:rPr>
        <w:t>'</w:t>
      </w:r>
    </w:p>
    <w:p w:rsid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</w:p>
    <w:p w:rsidR="00E2045D" w:rsidRPr="00ED6619" w:rsidRDefault="00E2045D" w:rsidP="00ED6619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Mudelles je svaki hadis u čijem je senedu svjesno prikriven kakav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nedostatak, a ukrašena njegova vanjština.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Hadiski učenjaci dijele tedlis na dvije osnovne vrste:</w:t>
      </w:r>
    </w:p>
    <w:p w:rsidR="00E2045D" w:rsidRPr="00ED6619" w:rsidRDefault="00E2045D" w:rsidP="00ED6619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</w:rPr>
      </w:pPr>
    </w:p>
    <w:p w:rsidR="00E2045D" w:rsidRPr="00ED6619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Tedlis se ostvaruje na jedan od</w:t>
      </w:r>
      <w:r w:rsidR="00E2045D" w:rsidRPr="00ED6619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 xml:space="preserve"> načina:</w:t>
      </w:r>
    </w:p>
    <w:p w:rsidR="00E2045D" w:rsidRPr="00E2045D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>
        <w:rPr>
          <w:rFonts w:ascii="Fd1509382-Identity-H" w:hAnsi="Fd1509382-Identity-H" w:cs="Fd1509382-Identity-H"/>
          <w:color w:val="141414"/>
          <w:sz w:val="24"/>
          <w:szCs w:val="24"/>
          <w:lang w:val="sv-SE"/>
        </w:rPr>
        <w:t>1</w:t>
      </w:r>
      <w:r w:rsidR="00E2045D" w:rsidRPr="00E2045D">
        <w:rPr>
          <w:rFonts w:ascii="Fd1509382-Identity-H" w:hAnsi="Fd1509382-Identity-H" w:cs="Fd1509382-Identity-H"/>
          <w:color w:val="141414"/>
          <w:sz w:val="24"/>
          <w:szCs w:val="24"/>
          <w:lang w:val="sv-SE"/>
        </w:rPr>
        <w:t xml:space="preserve">. </w:t>
      </w:r>
      <w:r w:rsidR="00E2045D"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Kad prenosilac koji je sklon obmani iz seneda svjesno izostavi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slabog raviju od koga je taj hadis čuo, kako bi izgledalo da su ga prenijeli</w:t>
      </w:r>
    </w:p>
    <w:p w:rsid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</w:rPr>
      </w:pPr>
      <w:proofErr w:type="gramStart"/>
      <w:r>
        <w:rPr>
          <w:rFonts w:ascii="Fd1634300-Identity-H" w:hAnsi="Fd1634300-Identity-H" w:cs="Fd1634300-Identity-H"/>
          <w:color w:val="141414"/>
          <w:sz w:val="26"/>
          <w:szCs w:val="26"/>
        </w:rPr>
        <w:t>samo</w:t>
      </w:r>
      <w:proofErr w:type="gramEnd"/>
      <w:r>
        <w:rPr>
          <w:rFonts w:ascii="Fd1634300-Identity-H" w:hAnsi="Fd1634300-Identity-H" w:cs="Fd1634300-Identity-H"/>
          <w:color w:val="141414"/>
          <w:sz w:val="26"/>
          <w:szCs w:val="26"/>
        </w:rPr>
        <w:t xml:space="preserve"> pouzdani prenosioci.</w:t>
      </w:r>
    </w:p>
    <w:p w:rsidR="00E2045D" w:rsidRPr="00E2045D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>
        <w:rPr>
          <w:rFonts w:ascii="Fd1136264-Identity-H" w:hAnsi="Fd1136264-Identity-H" w:cs="Fd1136264-Identity-H"/>
          <w:color w:val="141414"/>
          <w:sz w:val="24"/>
          <w:szCs w:val="24"/>
          <w:lang w:val="sv-SE"/>
        </w:rPr>
        <w:t xml:space="preserve">2. </w:t>
      </w:r>
      <w:r w:rsidR="00E2045D"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Kada neki od prenosilaca presiječe kontinuitet seneda na taj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način što u nizu prenošenja upotrijebi dvosmislen izraz iz kojega se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ne može zaključiti da li je on taj hadis čuo od osobe koju je spomenuo</w:t>
      </w:r>
    </w:p>
    <w:p w:rsidR="00E2045D" w:rsidRPr="00E2045D" w:rsidRDefault="00E2045D" w:rsidP="00ED6619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 xml:space="preserve">ili mu ga je neko drugi od nje prenio. </w:t>
      </w:r>
    </w:p>
    <w:p w:rsidR="00E2045D" w:rsidRPr="00E2045D" w:rsidRDefault="00ED6619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>
        <w:rPr>
          <w:rFonts w:ascii="Fd1136264-Identity-H" w:hAnsi="Fd1136264-Identity-H" w:cs="Fd1136264-Identity-H"/>
          <w:color w:val="151515"/>
          <w:sz w:val="24"/>
          <w:szCs w:val="24"/>
          <w:lang w:val="sv-SE"/>
        </w:rPr>
        <w:t xml:space="preserve">3. </w:t>
      </w:r>
      <w:r w:rsidR="00E2045D"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Ova vrsta tedlisa ostvaruje se tako što prenosilac, prenoseći mudelles-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hadis koji je čuo od svog učitelja, nekada svoga učitelja oslovi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lastRenderedPageBreak/>
        <w:t>imenom, nekada nadimkom po djetetu, nekada opet njegovim nadimkom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po mjestu rođenja ili plemenu, ili ga, pak, okarakterizira nečim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po čemu je nepoznat kako ne bi bio prepoznatljiv.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Tako, na primjer, Haris b. Ehu U same, prenoseći hadise od hafiza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Ehu Bekra Abdullaha b. Muhammeda b. Ubejda b. Sufjana, koji je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više poznat po nadimku Ibn Ehu Dun'ja, nekada rekne: "Kazao je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Abdullah b. Ubejd", nekada, "kazao je Abdullah b. Sufjan", a nekada,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opet, "kazao je Ehu Bekr Sufjan", kako bi izgledalo da je više prenosilaca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prenijelo ovaj hadis.</w:t>
      </w:r>
    </w:p>
    <w:p w:rsidR="00E2045D" w:rsidRPr="00E2045D" w:rsidRDefault="00E2045D" w:rsidP="00E2045D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2045D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Sve vrste mudelles-hadisa spadaju u kategoriju slabih hadisa, koji</w:t>
      </w:r>
    </w:p>
    <w:p w:rsidR="00FE62F6" w:rsidRPr="00F46DE5" w:rsidRDefault="00FE62F6" w:rsidP="00FE62F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bs-Latn-BA"/>
        </w:rPr>
      </w:pPr>
      <w:r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se odbacuju.</w:t>
      </w:r>
      <w:bookmarkStart w:id="0" w:name="_GoBack"/>
      <w:bookmarkEnd w:id="0"/>
    </w:p>
    <w:p w:rsidR="00F46DE5" w:rsidRPr="00F46DE5" w:rsidRDefault="00F46DE5" w:rsidP="00E2045D">
      <w:pPr>
        <w:ind w:firstLine="720"/>
        <w:rPr>
          <w:sz w:val="24"/>
          <w:szCs w:val="24"/>
          <w:lang w:val="bs-Latn-BA"/>
        </w:rPr>
      </w:pPr>
    </w:p>
    <w:sectPr w:rsidR="00F46DE5" w:rsidRPr="00F4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634300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681375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790361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509382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424632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949678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716845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113626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67960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22088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143231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82416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1641989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704576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1136271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834"/>
    <w:multiLevelType w:val="hybridMultilevel"/>
    <w:tmpl w:val="A78C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3"/>
    <w:rsid w:val="00826363"/>
    <w:rsid w:val="00E2045D"/>
    <w:rsid w:val="00ED6619"/>
    <w:rsid w:val="00F46DE5"/>
    <w:rsid w:val="00FE2F5B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2014-12-24T13:31:00Z</dcterms:created>
  <dcterms:modified xsi:type="dcterms:W3CDTF">2014-12-24T13:51:00Z</dcterms:modified>
</cp:coreProperties>
</file>